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50C" w:rsidRPr="002C4DC4" w:rsidRDefault="002C4DC4" w:rsidP="002C4DC4">
      <w:r w:rsidRPr="002C4DC4">
        <w:rPr>
          <w:noProof/>
          <w:lang w:eastAsia="it-IT" w:bidi="ar-SA"/>
        </w:rPr>
        <w:drawing>
          <wp:inline distT="0" distB="0" distL="0" distR="0">
            <wp:extent cx="8201025" cy="6210300"/>
            <wp:effectExtent l="19050" t="0" r="9525" b="0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37350C" w:rsidRPr="002C4DC4" w:rsidSect="00367E04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2C4DC4"/>
    <w:rsid w:val="0000422C"/>
    <w:rsid w:val="000302CE"/>
    <w:rsid w:val="00042086"/>
    <w:rsid w:val="00043CBA"/>
    <w:rsid w:val="000715CA"/>
    <w:rsid w:val="0008552D"/>
    <w:rsid w:val="000A479D"/>
    <w:rsid w:val="000C4706"/>
    <w:rsid w:val="0012219B"/>
    <w:rsid w:val="00157383"/>
    <w:rsid w:val="00177DE3"/>
    <w:rsid w:val="00181B8F"/>
    <w:rsid w:val="00182012"/>
    <w:rsid w:val="001841AA"/>
    <w:rsid w:val="00192A37"/>
    <w:rsid w:val="001A729C"/>
    <w:rsid w:val="001D7210"/>
    <w:rsid w:val="001E6C44"/>
    <w:rsid w:val="002025C7"/>
    <w:rsid w:val="002063E5"/>
    <w:rsid w:val="0022088C"/>
    <w:rsid w:val="0023789C"/>
    <w:rsid w:val="00241C3F"/>
    <w:rsid w:val="00246245"/>
    <w:rsid w:val="002572D8"/>
    <w:rsid w:val="00283D04"/>
    <w:rsid w:val="0028697D"/>
    <w:rsid w:val="002B6168"/>
    <w:rsid w:val="002B70B6"/>
    <w:rsid w:val="002B7732"/>
    <w:rsid w:val="002C4DC4"/>
    <w:rsid w:val="002D1B37"/>
    <w:rsid w:val="002D5029"/>
    <w:rsid w:val="002F355A"/>
    <w:rsid w:val="00346F28"/>
    <w:rsid w:val="00353ED9"/>
    <w:rsid w:val="003549E1"/>
    <w:rsid w:val="00367E04"/>
    <w:rsid w:val="0037350C"/>
    <w:rsid w:val="0037764D"/>
    <w:rsid w:val="00381849"/>
    <w:rsid w:val="003A018B"/>
    <w:rsid w:val="003B0F5D"/>
    <w:rsid w:val="003C4657"/>
    <w:rsid w:val="003D513F"/>
    <w:rsid w:val="003E52ED"/>
    <w:rsid w:val="00404F23"/>
    <w:rsid w:val="00414FE2"/>
    <w:rsid w:val="00423C4C"/>
    <w:rsid w:val="00424C8E"/>
    <w:rsid w:val="00437982"/>
    <w:rsid w:val="004450F5"/>
    <w:rsid w:val="004972CC"/>
    <w:rsid w:val="004A5E59"/>
    <w:rsid w:val="004B1C44"/>
    <w:rsid w:val="004B63A2"/>
    <w:rsid w:val="004C2548"/>
    <w:rsid w:val="004C2600"/>
    <w:rsid w:val="004C69B6"/>
    <w:rsid w:val="004E216C"/>
    <w:rsid w:val="00500F85"/>
    <w:rsid w:val="00504F74"/>
    <w:rsid w:val="005239D1"/>
    <w:rsid w:val="00525147"/>
    <w:rsid w:val="005307BA"/>
    <w:rsid w:val="0053352B"/>
    <w:rsid w:val="005460AA"/>
    <w:rsid w:val="00552468"/>
    <w:rsid w:val="00555EA0"/>
    <w:rsid w:val="0057590E"/>
    <w:rsid w:val="005875B6"/>
    <w:rsid w:val="00593B4B"/>
    <w:rsid w:val="005A04CF"/>
    <w:rsid w:val="005C7F3B"/>
    <w:rsid w:val="005E32E3"/>
    <w:rsid w:val="005E4B39"/>
    <w:rsid w:val="005F2D64"/>
    <w:rsid w:val="005F5197"/>
    <w:rsid w:val="005F5A23"/>
    <w:rsid w:val="005F74D7"/>
    <w:rsid w:val="006029EB"/>
    <w:rsid w:val="00611E67"/>
    <w:rsid w:val="00627449"/>
    <w:rsid w:val="006372DB"/>
    <w:rsid w:val="006456BA"/>
    <w:rsid w:val="00647117"/>
    <w:rsid w:val="00654C91"/>
    <w:rsid w:val="006958C0"/>
    <w:rsid w:val="006A500E"/>
    <w:rsid w:val="006A72D7"/>
    <w:rsid w:val="006B09C7"/>
    <w:rsid w:val="006B64B4"/>
    <w:rsid w:val="006C755E"/>
    <w:rsid w:val="006D52E6"/>
    <w:rsid w:val="006E493A"/>
    <w:rsid w:val="006F0953"/>
    <w:rsid w:val="00711C84"/>
    <w:rsid w:val="00745AB0"/>
    <w:rsid w:val="00754A8B"/>
    <w:rsid w:val="00770932"/>
    <w:rsid w:val="007776E0"/>
    <w:rsid w:val="007C2162"/>
    <w:rsid w:val="007C724B"/>
    <w:rsid w:val="007D5A32"/>
    <w:rsid w:val="007F4068"/>
    <w:rsid w:val="008142E1"/>
    <w:rsid w:val="008165AB"/>
    <w:rsid w:val="00822D0A"/>
    <w:rsid w:val="00833CE7"/>
    <w:rsid w:val="00834108"/>
    <w:rsid w:val="00842B9D"/>
    <w:rsid w:val="008A4D50"/>
    <w:rsid w:val="008C4F0A"/>
    <w:rsid w:val="008D457D"/>
    <w:rsid w:val="008E6B2A"/>
    <w:rsid w:val="009000D5"/>
    <w:rsid w:val="00902020"/>
    <w:rsid w:val="00903C68"/>
    <w:rsid w:val="00912AB4"/>
    <w:rsid w:val="009240AD"/>
    <w:rsid w:val="009305C9"/>
    <w:rsid w:val="00933A27"/>
    <w:rsid w:val="009341C9"/>
    <w:rsid w:val="00943A00"/>
    <w:rsid w:val="00947C83"/>
    <w:rsid w:val="00964093"/>
    <w:rsid w:val="00983B8D"/>
    <w:rsid w:val="009974E0"/>
    <w:rsid w:val="009E08DD"/>
    <w:rsid w:val="009E725B"/>
    <w:rsid w:val="009F0B3F"/>
    <w:rsid w:val="009F2441"/>
    <w:rsid w:val="009F367A"/>
    <w:rsid w:val="00A077AD"/>
    <w:rsid w:val="00A143DE"/>
    <w:rsid w:val="00A17D90"/>
    <w:rsid w:val="00A61579"/>
    <w:rsid w:val="00A7323A"/>
    <w:rsid w:val="00A733A9"/>
    <w:rsid w:val="00A76B99"/>
    <w:rsid w:val="00AB5955"/>
    <w:rsid w:val="00AC27FD"/>
    <w:rsid w:val="00AC6B5E"/>
    <w:rsid w:val="00AD277B"/>
    <w:rsid w:val="00AE111D"/>
    <w:rsid w:val="00AE43EF"/>
    <w:rsid w:val="00AF6B21"/>
    <w:rsid w:val="00B02C05"/>
    <w:rsid w:val="00B03CF2"/>
    <w:rsid w:val="00B2056B"/>
    <w:rsid w:val="00B453B7"/>
    <w:rsid w:val="00B46DD2"/>
    <w:rsid w:val="00B659D3"/>
    <w:rsid w:val="00B74313"/>
    <w:rsid w:val="00B8033B"/>
    <w:rsid w:val="00B806FC"/>
    <w:rsid w:val="00B958AD"/>
    <w:rsid w:val="00B96EDA"/>
    <w:rsid w:val="00B97D40"/>
    <w:rsid w:val="00BA37A9"/>
    <w:rsid w:val="00BB235F"/>
    <w:rsid w:val="00BB6744"/>
    <w:rsid w:val="00BC352A"/>
    <w:rsid w:val="00BE778B"/>
    <w:rsid w:val="00C1247C"/>
    <w:rsid w:val="00C17DFC"/>
    <w:rsid w:val="00C411B1"/>
    <w:rsid w:val="00C536C8"/>
    <w:rsid w:val="00C60AFA"/>
    <w:rsid w:val="00C60C49"/>
    <w:rsid w:val="00C61BF2"/>
    <w:rsid w:val="00C7397B"/>
    <w:rsid w:val="00C84507"/>
    <w:rsid w:val="00C91F8F"/>
    <w:rsid w:val="00C92715"/>
    <w:rsid w:val="00C92781"/>
    <w:rsid w:val="00CA0721"/>
    <w:rsid w:val="00CA5672"/>
    <w:rsid w:val="00CA64DC"/>
    <w:rsid w:val="00CC12C1"/>
    <w:rsid w:val="00CC3F97"/>
    <w:rsid w:val="00CC5C28"/>
    <w:rsid w:val="00CD676F"/>
    <w:rsid w:val="00CF0CA1"/>
    <w:rsid w:val="00D113E0"/>
    <w:rsid w:val="00D1274A"/>
    <w:rsid w:val="00D14588"/>
    <w:rsid w:val="00D14687"/>
    <w:rsid w:val="00D2298F"/>
    <w:rsid w:val="00D264EE"/>
    <w:rsid w:val="00D355FF"/>
    <w:rsid w:val="00D422A6"/>
    <w:rsid w:val="00D45C7F"/>
    <w:rsid w:val="00D62AF7"/>
    <w:rsid w:val="00D704A6"/>
    <w:rsid w:val="00DA2370"/>
    <w:rsid w:val="00DA4564"/>
    <w:rsid w:val="00DD0BDA"/>
    <w:rsid w:val="00DE25A6"/>
    <w:rsid w:val="00DE46DE"/>
    <w:rsid w:val="00E035CD"/>
    <w:rsid w:val="00E14EEE"/>
    <w:rsid w:val="00E34B81"/>
    <w:rsid w:val="00E55827"/>
    <w:rsid w:val="00E7643C"/>
    <w:rsid w:val="00E77AE5"/>
    <w:rsid w:val="00E83F38"/>
    <w:rsid w:val="00EA565D"/>
    <w:rsid w:val="00EF02C5"/>
    <w:rsid w:val="00F104F6"/>
    <w:rsid w:val="00F1485A"/>
    <w:rsid w:val="00F26422"/>
    <w:rsid w:val="00F3097B"/>
    <w:rsid w:val="00F31C4C"/>
    <w:rsid w:val="00F40CC2"/>
    <w:rsid w:val="00F43465"/>
    <w:rsid w:val="00F4416B"/>
    <w:rsid w:val="00F472A0"/>
    <w:rsid w:val="00F5287A"/>
    <w:rsid w:val="00F6479B"/>
    <w:rsid w:val="00F70FEB"/>
    <w:rsid w:val="00F80F63"/>
    <w:rsid w:val="00F84649"/>
    <w:rsid w:val="00F86430"/>
    <w:rsid w:val="00FA3C78"/>
    <w:rsid w:val="00FC0B4D"/>
    <w:rsid w:val="00FC46AE"/>
    <w:rsid w:val="00FD016D"/>
    <w:rsid w:val="00FE40B6"/>
    <w:rsid w:val="00FF3222"/>
    <w:rsid w:val="00FF6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7350C"/>
    <w:rPr>
      <w:lang w:bidi="fa-I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4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4DC4"/>
    <w:rPr>
      <w:rFonts w:ascii="Tahoma" w:hAnsi="Tahoma" w:cs="Tahoma"/>
      <w:sz w:val="16"/>
      <w:szCs w:val="16"/>
      <w:lang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Mappe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it-IT"/>
  <c:chart>
    <c:plotArea>
      <c:layout>
        <c:manualLayout>
          <c:layoutTarget val="inner"/>
          <c:xMode val="edge"/>
          <c:yMode val="edge"/>
          <c:x val="6.2875094101609422E-2"/>
          <c:y val="0.29865871545468614"/>
          <c:w val="0.53720325968287264"/>
          <c:h val="0.43897483402809973"/>
        </c:manualLayout>
      </c:layout>
      <c:lineChart>
        <c:grouping val="standard"/>
        <c:ser>
          <c:idx val="0"/>
          <c:order val="0"/>
          <c:tx>
            <c:strRef>
              <c:f>Tabelle1!$A$19</c:f>
              <c:strCache>
                <c:ptCount val="1"/>
                <c:pt idx="0">
                  <c:v>Einwohner in Mio.</c:v>
                </c:pt>
              </c:strCache>
            </c:strRef>
          </c:tx>
          <c:cat>
            <c:numRef>
              <c:f>Tabelle1!$B$18:$I$18</c:f>
              <c:numCache>
                <c:formatCode>General</c:formatCode>
                <c:ptCount val="8"/>
                <c:pt idx="0">
                  <c:v>1956</c:v>
                </c:pt>
                <c:pt idx="1">
                  <c:v>1966</c:v>
                </c:pt>
                <c:pt idx="2">
                  <c:v>1976</c:v>
                </c:pt>
                <c:pt idx="3">
                  <c:v>1986</c:v>
                </c:pt>
                <c:pt idx="4">
                  <c:v>1991</c:v>
                </c:pt>
                <c:pt idx="5">
                  <c:v>1996</c:v>
                </c:pt>
                <c:pt idx="6">
                  <c:v>2006</c:v>
                </c:pt>
                <c:pt idx="7">
                  <c:v>2011</c:v>
                </c:pt>
              </c:numCache>
            </c:numRef>
          </c:cat>
          <c:val>
            <c:numRef>
              <c:f>Tabelle1!$B$19:$I$19</c:f>
              <c:numCache>
                <c:formatCode>General</c:formatCode>
                <c:ptCount val="8"/>
                <c:pt idx="0">
                  <c:v>18.95</c:v>
                </c:pt>
                <c:pt idx="1">
                  <c:v>25.79</c:v>
                </c:pt>
                <c:pt idx="2">
                  <c:v>33.71</c:v>
                </c:pt>
                <c:pt idx="3">
                  <c:v>49.5</c:v>
                </c:pt>
                <c:pt idx="4">
                  <c:v>55.84</c:v>
                </c:pt>
                <c:pt idx="5">
                  <c:v>60.06</c:v>
                </c:pt>
                <c:pt idx="6">
                  <c:v>70.47</c:v>
                </c:pt>
                <c:pt idx="7">
                  <c:v>74.959999999999994</c:v>
                </c:pt>
              </c:numCache>
            </c:numRef>
          </c:val>
        </c:ser>
        <c:ser>
          <c:idx val="1"/>
          <c:order val="1"/>
          <c:tx>
            <c:strRef>
              <c:f>Tabelle1!$A$20</c:f>
              <c:strCache>
                <c:ptCount val="1"/>
                <c:pt idx="0">
                  <c:v>Bevölkerungswachstum in %</c:v>
                </c:pt>
              </c:strCache>
            </c:strRef>
          </c:tx>
          <c:cat>
            <c:numRef>
              <c:f>Tabelle1!$B$18:$I$18</c:f>
              <c:numCache>
                <c:formatCode>General</c:formatCode>
                <c:ptCount val="8"/>
                <c:pt idx="0">
                  <c:v>1956</c:v>
                </c:pt>
                <c:pt idx="1">
                  <c:v>1966</c:v>
                </c:pt>
                <c:pt idx="2">
                  <c:v>1976</c:v>
                </c:pt>
                <c:pt idx="3">
                  <c:v>1986</c:v>
                </c:pt>
                <c:pt idx="4">
                  <c:v>1991</c:v>
                </c:pt>
                <c:pt idx="5">
                  <c:v>1996</c:v>
                </c:pt>
                <c:pt idx="6">
                  <c:v>2006</c:v>
                </c:pt>
                <c:pt idx="7">
                  <c:v>2011</c:v>
                </c:pt>
              </c:numCache>
            </c:numRef>
          </c:cat>
          <c:val>
            <c:numRef>
              <c:f>Tabelle1!$B$20:$I$20</c:f>
              <c:numCache>
                <c:formatCode>General</c:formatCode>
                <c:ptCount val="8"/>
                <c:pt idx="1">
                  <c:v>13.3</c:v>
                </c:pt>
                <c:pt idx="2">
                  <c:v>2.71</c:v>
                </c:pt>
                <c:pt idx="3">
                  <c:v>3.9099999999999997</c:v>
                </c:pt>
                <c:pt idx="4">
                  <c:v>2.46</c:v>
                </c:pt>
                <c:pt idx="5">
                  <c:v>1.47</c:v>
                </c:pt>
                <c:pt idx="6">
                  <c:v>1.61</c:v>
                </c:pt>
                <c:pt idx="7">
                  <c:v>1.3</c:v>
                </c:pt>
              </c:numCache>
            </c:numRef>
          </c:val>
        </c:ser>
        <c:marker val="1"/>
        <c:axId val="16159872"/>
        <c:axId val="16161408"/>
      </c:lineChart>
      <c:catAx>
        <c:axId val="16159872"/>
        <c:scaling>
          <c:orientation val="minMax"/>
        </c:scaling>
        <c:axPos val="b"/>
        <c:numFmt formatCode="General" sourceLinked="1"/>
        <c:tickLblPos val="nextTo"/>
        <c:crossAx val="16161408"/>
        <c:crosses val="autoZero"/>
        <c:auto val="1"/>
        <c:lblAlgn val="ctr"/>
        <c:lblOffset val="100"/>
      </c:catAx>
      <c:valAx>
        <c:axId val="16161408"/>
        <c:scaling>
          <c:orientation val="minMax"/>
          <c:min val="0"/>
        </c:scaling>
        <c:axPos val="l"/>
        <c:majorGridlines/>
        <c:numFmt formatCode="General" sourceLinked="1"/>
        <c:tickLblPos val="nextTo"/>
        <c:crossAx val="16159872"/>
        <c:crosses val="autoZero"/>
        <c:crossBetween val="between"/>
        <c:majorUnit val="10"/>
        <c:minorUnit val="2"/>
      </c:valAx>
    </c:plotArea>
    <c:legend>
      <c:legendPos val="r"/>
      <c:layout/>
    </c:legend>
    <c:plotVisOnly val="1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0.08992</cdr:x>
      <cdr:y>0.08068</cdr:y>
    </cdr:from>
    <cdr:to>
      <cdr:x>0.23876</cdr:x>
      <cdr:y>0.3154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552451" y="314325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it-IT" sz="1100"/>
        </a:p>
      </cdr:txBody>
    </cdr:sp>
  </cdr:relSizeAnchor>
  <cdr:relSizeAnchor xmlns:cdr="http://schemas.openxmlformats.org/drawingml/2006/chartDrawing">
    <cdr:from>
      <cdr:x>0.05891</cdr:x>
      <cdr:y>0.14425</cdr:y>
    </cdr:from>
    <cdr:to>
      <cdr:x>0.74884</cdr:x>
      <cdr:y>0.21779</cdr:y>
    </cdr:to>
    <cdr:sp macro="" textlink="">
      <cdr:nvSpPr>
        <cdr:cNvPr id="3" name="Textfeld 2"/>
        <cdr:cNvSpPr txBox="1"/>
      </cdr:nvSpPr>
      <cdr:spPr>
        <a:xfrm xmlns:a="http://schemas.openxmlformats.org/drawingml/2006/main">
          <a:off x="483122" y="895836"/>
          <a:ext cx="5658134" cy="4567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de-DE" sz="2000" b="1">
              <a:latin typeface="+mn-lt"/>
              <a:ea typeface="+mn-ea"/>
              <a:cs typeface="+mn-cs"/>
            </a:rPr>
            <a:t>Bevölkerungs</a:t>
          </a:r>
          <a:r>
            <a:rPr lang="it-IT" sz="2000" b="1">
              <a:latin typeface="+mn-lt"/>
              <a:ea typeface="+mn-ea"/>
              <a:cs typeface="+mn-cs"/>
            </a:rPr>
            <a:t>entwicklung</a:t>
          </a:r>
          <a:r>
            <a:rPr lang="it-IT" sz="2000" b="1" baseline="0">
              <a:latin typeface="+mn-lt"/>
              <a:ea typeface="+mn-ea"/>
              <a:cs typeface="+mn-cs"/>
            </a:rPr>
            <a:t> in Iran 1956 -2011</a:t>
          </a:r>
          <a:endParaRPr lang="it-IT" sz="2000" b="1">
            <a:latin typeface="+mn-lt"/>
            <a:ea typeface="+mn-ea"/>
            <a:cs typeface="+mn-cs"/>
          </a:endParaRPr>
        </a:p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endParaRPr lang="it-IT" sz="1100">
            <a:latin typeface="+mn-lt"/>
            <a:ea typeface="+mn-ea"/>
            <a:cs typeface="+mn-cs"/>
          </a:endParaRPr>
        </a:p>
      </cdr:txBody>
    </cdr:sp>
  </cdr:relSizeAnchor>
</c:userShape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2012-01-14T11:54:00Z</dcterms:created>
  <dcterms:modified xsi:type="dcterms:W3CDTF">2012-01-14T11:54:00Z</dcterms:modified>
</cp:coreProperties>
</file>